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福建省泉州工程勘察院三普采样工作</w:t>
      </w:r>
    </w:p>
    <w:p>
      <w:pPr>
        <w:snapToGrid w:val="0"/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劳务比选邀请询价公告</w:t>
      </w:r>
    </w:p>
    <w:p>
      <w:pPr>
        <w:snapToGrid w:val="0"/>
        <w:spacing w:line="240" w:lineRule="auto"/>
        <w:jc w:val="center"/>
        <w:rPr>
          <w:b/>
          <w:sz w:val="36"/>
          <w:szCs w:val="36"/>
        </w:rPr>
      </w:pPr>
    </w:p>
    <w:p>
      <w:pPr>
        <w:spacing w:line="360" w:lineRule="auto"/>
        <w:rPr>
          <w:sz w:val="28"/>
          <w:szCs w:val="24"/>
        </w:rPr>
      </w:pPr>
      <w:r>
        <w:rPr>
          <w:rFonts w:hint="eastAsia"/>
          <w:sz w:val="28"/>
          <w:szCs w:val="24"/>
          <w:u w:val="single"/>
        </w:rPr>
        <w:t xml:space="preserve">             </w:t>
      </w:r>
      <w:r>
        <w:rPr>
          <w:sz w:val="28"/>
          <w:szCs w:val="24"/>
        </w:rPr>
        <w:t>：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因我单位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开展</w:t>
      </w:r>
      <w:r>
        <w:rPr>
          <w:rFonts w:hint="eastAsia" w:ascii="仿宋" w:hAnsi="仿宋" w:eastAsia="仿宋" w:cs="仿宋"/>
          <w:sz w:val="28"/>
          <w:szCs w:val="24"/>
        </w:rPr>
        <w:t>南安市第三次全国土壤普查表层土壤外业调查采样工作需要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，拟进行</w:t>
      </w:r>
      <w:r>
        <w:rPr>
          <w:rFonts w:hint="eastAsia" w:ascii="仿宋" w:hAnsi="仿宋" w:eastAsia="仿宋" w:cs="仿宋"/>
          <w:sz w:val="28"/>
          <w:szCs w:val="24"/>
        </w:rPr>
        <w:t>劳务雇工，特邀请贵公司参加本次劳务比选活动，有关事项说明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4"/>
        </w:rPr>
        <w:t>如下：</w:t>
      </w:r>
    </w:p>
    <w:p>
      <w:pPr>
        <w:spacing w:line="360" w:lineRule="auto"/>
        <w:ind w:firstLine="482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一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比选项目：</w:t>
      </w:r>
      <w:r>
        <w:rPr>
          <w:rFonts w:hint="eastAsia" w:ascii="仿宋" w:hAnsi="仿宋" w:eastAsia="仿宋" w:cs="仿宋"/>
          <w:sz w:val="28"/>
          <w:szCs w:val="24"/>
        </w:rPr>
        <w:t>南安市第三次全国土壤普查表层土壤外业调查采样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劳务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482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二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方式：</w:t>
      </w:r>
      <w:r>
        <w:rPr>
          <w:rFonts w:hint="eastAsia" w:ascii="仿宋" w:hAnsi="仿宋" w:eastAsia="仿宋" w:cs="仿宋"/>
          <w:sz w:val="28"/>
          <w:szCs w:val="24"/>
        </w:rPr>
        <w:t>邀请参与比选报价。</w:t>
      </w:r>
    </w:p>
    <w:p>
      <w:pPr>
        <w:spacing w:line="360" w:lineRule="auto"/>
        <w:ind w:firstLine="482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三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工作时间：</w:t>
      </w:r>
      <w:r>
        <w:rPr>
          <w:rFonts w:hint="eastAsia" w:ascii="仿宋" w:hAnsi="仿宋" w:eastAsia="仿宋" w:cs="仿宋"/>
          <w:sz w:val="28"/>
          <w:szCs w:val="24"/>
        </w:rPr>
        <w:t>2023年10月—2023年12月。</w:t>
      </w:r>
    </w:p>
    <w:p>
      <w:pPr>
        <w:spacing w:line="360" w:lineRule="auto"/>
        <w:ind w:firstLine="482"/>
        <w:outlineLvl w:val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四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工作地点：</w:t>
      </w:r>
      <w:r>
        <w:rPr>
          <w:rFonts w:hint="eastAsia" w:ascii="仿宋" w:hAnsi="仿宋" w:eastAsia="仿宋" w:cs="仿宋"/>
          <w:sz w:val="28"/>
          <w:szCs w:val="24"/>
        </w:rPr>
        <w:t>泉州市南安市境内。</w:t>
      </w:r>
    </w:p>
    <w:p>
      <w:pPr>
        <w:spacing w:line="360" w:lineRule="auto"/>
        <w:ind w:firstLine="482"/>
        <w:outlineLvl w:val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五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工作内容：</w:t>
      </w:r>
      <w:r>
        <w:rPr>
          <w:rFonts w:hint="eastAsia" w:ascii="仿宋" w:hAnsi="仿宋" w:eastAsia="仿宋" w:cs="仿宋"/>
          <w:sz w:val="28"/>
          <w:szCs w:val="24"/>
        </w:rPr>
        <w:t>协助我方技术领队开展表层土壤外业调查采样工作等。</w:t>
      </w:r>
    </w:p>
    <w:p>
      <w:pPr>
        <w:spacing w:line="360" w:lineRule="auto"/>
        <w:ind w:firstLine="482"/>
        <w:outlineLvl w:val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六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比选方式：</w:t>
      </w:r>
      <w:r>
        <w:rPr>
          <w:rFonts w:hint="eastAsia" w:ascii="仿宋" w:hAnsi="仿宋" w:eastAsia="仿宋" w:cs="仿宋"/>
          <w:sz w:val="28"/>
          <w:szCs w:val="24"/>
        </w:rPr>
        <w:t>本次比选，邀请我院劳务供应商库中的供应商参加，采用综合报价最低价确定中选劳务公司。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七、投标材料：</w:t>
      </w:r>
      <w:r>
        <w:rPr>
          <w:rFonts w:hint="eastAsia" w:ascii="仿宋" w:hAnsi="仿宋" w:eastAsia="仿宋" w:cs="仿宋"/>
          <w:sz w:val="28"/>
          <w:szCs w:val="24"/>
        </w:rPr>
        <w:t>1、报价函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4"/>
        </w:rPr>
        <w:t>2、营业执照。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八、开标时间及方式：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1．2023年10月20日（周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4"/>
        </w:rPr>
        <w:t>）下午3:30在泉州市丰泽区城东福建省闽东南地质大队C幢一楼工勘院会议室开标。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2．请投标人将密封投标文件1份于10月20日上午下班前送达泉州市丰泽区城东福建省闽东南地质大队C幢110室。联系人：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4"/>
        </w:rPr>
        <w:t>侯，电话：18005067531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。</w:t>
      </w:r>
    </w:p>
    <w:p>
      <w:pPr>
        <w:spacing w:line="360" w:lineRule="auto"/>
        <w:ind w:firstLine="482"/>
        <w:outlineLvl w:val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九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中选通知、合同签订：</w:t>
      </w:r>
      <w:r>
        <w:rPr>
          <w:rFonts w:hint="eastAsia" w:ascii="仿宋" w:hAnsi="仿宋" w:eastAsia="仿宋" w:cs="仿宋"/>
          <w:sz w:val="28"/>
          <w:szCs w:val="24"/>
        </w:rPr>
        <w:t>中选候选人经公示3天无异议后，我院向中选人发出中选通知并与我院签订合同，按合同约定条款执行。</w:t>
      </w:r>
    </w:p>
    <w:p>
      <w:pPr>
        <w:spacing w:line="360" w:lineRule="auto"/>
        <w:ind w:firstLine="482"/>
        <w:outlineLvl w:val="0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十</w:t>
      </w: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4"/>
        </w:rPr>
        <w:t>其它事项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1．本次比选由我院相关部门组成评选小组，不收取服务费。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2．每个参选人只能有一个报价，包括人员工资、保险、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工具、用车、</w:t>
      </w:r>
      <w:r>
        <w:rPr>
          <w:rFonts w:hint="eastAsia" w:ascii="仿宋" w:hAnsi="仿宋" w:eastAsia="仿宋" w:cs="仿宋"/>
          <w:sz w:val="28"/>
          <w:szCs w:val="24"/>
        </w:rPr>
        <w:t>安全、劳保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4"/>
        </w:rPr>
        <w:t>管理费、税费及合同明示或暗示的所有责任、义务和一切风险(不可抗力除外)费用等所有费用。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3．中选人如不按时与我院签订合同，则我院有权废除其中选资格。出现此种情形，我院向次低价的第二中选候选人发出中选通知。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4．其他未尽事宜可联系福建省泉州工程勘察院蔡伟，联系电话：0595-22687852。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特此专函！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附件1 报价单</w:t>
      </w:r>
    </w:p>
    <w:p>
      <w:pPr>
        <w:spacing w:line="360" w:lineRule="auto"/>
        <w:ind w:firstLine="4586" w:firstLineChars="1638"/>
        <w:jc w:val="right"/>
        <w:rPr>
          <w:rFonts w:ascii="仿宋" w:hAnsi="仿宋" w:eastAsia="仿宋" w:cs="仿宋"/>
          <w:sz w:val="28"/>
          <w:szCs w:val="24"/>
        </w:rPr>
      </w:pPr>
    </w:p>
    <w:p>
      <w:pPr>
        <w:spacing w:line="360" w:lineRule="auto"/>
        <w:ind w:firstLine="4586" w:firstLineChars="1638"/>
        <w:jc w:val="right"/>
        <w:rPr>
          <w:rFonts w:ascii="仿宋" w:hAnsi="仿宋" w:eastAsia="仿宋" w:cs="仿宋"/>
          <w:sz w:val="28"/>
          <w:szCs w:val="24"/>
        </w:rPr>
      </w:pPr>
    </w:p>
    <w:p>
      <w:pPr>
        <w:spacing w:line="360" w:lineRule="auto"/>
        <w:ind w:firstLine="4586" w:firstLineChars="1638"/>
        <w:jc w:val="right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福建省泉州工程勘察院</w:t>
      </w: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 2023年 </w:t>
      </w:r>
      <w:r>
        <w:rPr>
          <w:rFonts w:hint="eastAsia" w:hAnsi="仿宋" w:eastAsia="仿宋" w:cs="仿宋"/>
          <w:sz w:val="28"/>
          <w:szCs w:val="24"/>
        </w:rPr>
        <w:t>10</w:t>
      </w:r>
      <w:r>
        <w:rPr>
          <w:rFonts w:hint="eastAsia" w:ascii="仿宋" w:hAnsi="仿宋" w:eastAsia="仿宋" w:cs="仿宋"/>
          <w:sz w:val="28"/>
          <w:szCs w:val="24"/>
        </w:rPr>
        <w:t>月17日</w:t>
      </w: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right"/>
        <w:rPr>
          <w:rFonts w:ascii="仿宋" w:hAnsi="仿宋" w:eastAsia="仿宋" w:cs="仿宋"/>
          <w:sz w:val="24"/>
          <w:szCs w:val="24"/>
        </w:rPr>
      </w:pPr>
    </w:p>
    <w:tbl>
      <w:tblPr>
        <w:tblStyle w:val="4"/>
        <w:tblW w:w="79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730"/>
        <w:gridCol w:w="1413"/>
        <w:gridCol w:w="1072"/>
        <w:gridCol w:w="1242"/>
        <w:gridCol w:w="2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福建省泉州工程勘察院项目劳务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工程名称：</w:t>
            </w: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南安市第三次全国土壤普查表层土壤外业调查采样项目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7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报价包括人员工资、保险、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工具、用车、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安全、劳保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管理费、税费及合同明示或暗示的所有责任、义务和一切风险(不可抗力除外)费用等所有费用。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报价单位应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做好采样、送样，并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对采样质量及安全负责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同时服从现场负责人的安排。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工作量报价计价表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单价单位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20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小计价（元）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耕地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点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332.00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园地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元/点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295.00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林地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元/点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71.00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草地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元/点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15.00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结算原则：</w:t>
            </w: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以实际完成的工作量结算；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以上表单价进行结算，不再进行单价调整；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工作量以通过现场负责人或项目负责确认为准。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报价单位（盖章）</w:t>
            </w:r>
          </w:p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代理人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（盖章或签字）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日期：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center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503"/>
        <w:jc w:val="center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DQwNjhlY2U4Y2E3OGMzMGY0NzNhNDdkNDkyMjIifQ=="/>
  </w:docVars>
  <w:rsids>
    <w:rsidRoot w:val="0049211C"/>
    <w:rsid w:val="002D0C38"/>
    <w:rsid w:val="00310B27"/>
    <w:rsid w:val="0049211C"/>
    <w:rsid w:val="0065119F"/>
    <w:rsid w:val="00B35B29"/>
    <w:rsid w:val="00C165AB"/>
    <w:rsid w:val="00D328DA"/>
    <w:rsid w:val="00F37AC1"/>
    <w:rsid w:val="125156B4"/>
    <w:rsid w:val="4E7F2005"/>
    <w:rsid w:val="57C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190</Words>
  <Characters>1085</Characters>
  <Lines>9</Lines>
  <Paragraphs>2</Paragraphs>
  <TotalTime>4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2023-10-17T02:51:00Z</dcterms:created>
  <dc:creator>PC</dc:creator>
  <cp:lastModifiedBy>何清源</cp:lastModifiedBy>
  <dcterms:modified xsi:type="dcterms:W3CDTF">2023-10-17T08:44:07Z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B00F9DDF4BDE484DA1F4B2072D0148B9_12</vt:lpwstr>
  </property>
</Properties>
</file>